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d23208b4d2242f6"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52637</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Dječji vrtić Lađica</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XII 2025.</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287.570,47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370.839,87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285.568,66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400.818,45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140,4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POSLOVANJA (šifre Z005-6)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29.978,58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1.109,49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2.815,23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253,7</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1.109,49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2.815,23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253,7</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32.793,81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Dječji vrtić Lađica kao proračunski korisnik Općine Davor najvećim se dijelom financira od uplata iz nadležnog proračuna.  Druga najzastupljenija vrsta prihoda vrtića je sufinanciranje osnovne cijene vrtića od strane korisnika, odnosno roditelja.  Na rashodovnoj strani, većina troškova odnosi se na plaće zaposlenih i ostale redovne troškove kao što su kuhinja i tekuće održavanje objekta i opreme.  Dječji vrtić Lađica u navedenom razdoblju nije imao primitke ili izdatke od zaduživanja.  U razdoblju izvještavanja ostvaren je manjak prihoda od 32.793,81 EUR. Manjak je nastao zbog poštivanja modificiranog računovodstvenog načela nastanka događaja, odnosno prihodi za pokrivanje plaća i ostalih troškova za prosinac 2025. godine postali su raspoloživi u siječnju 2026., dok su rashodi priznati u trenutku nastanka događaja u obračunskom razdoblju na koje se odnose.</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iz inozemstva i od subjekata unutar općeg proračuna (šifre 631+632+633+634+635+636+637+638+639)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86,40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Nadležni proračun po ovoj vrsti prihoda u 2025. nije izravno transferirao pomoći uplaćene u proračun na ime vrtićkih programa.</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i od HZZO-a na temelju ugovornih obveza (šifre 671+673)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229.842,14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313.993,36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136,6</w:t>
            </w:r>
          </w:p>
        </w:tc>
      </w:tr>
    </w:tbl>
    <w:p>
      <w:pPr>
        <w:spacing w:before="0" w:after="0"/>
      </w:pPr>
    </w:p>
    <w:p>
      <w:r>
        <w:t xml:space="preserve">Prihodi po ovoj vrsti se odnose na sufinanciranje plaća i ostalih troškova zaposlenih, te ostalih izvanrednih rashoda. Do povećanja u odnosu na prošlu godinu došlo je zbog rasta plaća i potrebe za većim brojem radnika.</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zaposlene (šifre 311+312+313)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181.743,82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279.975,50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154,0</w:t>
            </w:r>
          </w:p>
        </w:tc>
      </w:tr>
    </w:tbl>
    <w:p>
      <w:pPr>
        <w:spacing w:before="0" w:after="0"/>
      </w:pPr>
    </w:p>
    <w:p>
      <w:r>
        <w:t xml:space="preserve">Plaće se redovno usklađuju sa  plaćama zaposlenih kod nadležnog proračuna, odnosno po kolektivnom ugovoru za državne službenike i namještenike. Iz tog razloga došlo je do promjene obračuna osnovice i usklađenja koeficijenata za obračun plaća, pa su samim tim i plaće u odnosu na prošlu godinu rasle. Isto tako, povećan je i obujam zaposlenih u odnosu na prošlu godinu što također utječe na povećanje ukupne mase plaća i ostalih troškova povezanih sa zaposlenima.</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Stručno usavršavanje zaposlenika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1.116,78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190,14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17,0</w:t>
            </w:r>
          </w:p>
        </w:tc>
      </w:tr>
    </w:tbl>
    <w:p>
      <w:pPr>
        <w:spacing w:before="0" w:after="0"/>
      </w:pPr>
    </w:p>
    <w:p>
      <w:r>
        <w:t xml:space="preserve">Smanjeni su troškovi za edukaciju zaposlenika u vidu seminara i polaganja stručnih ispita.</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naknade troškova zaposlenima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1.702,40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47,0</w:t>
            </w:r>
          </w:p>
        </w:tc>
      </w:tr>
    </w:tbl>
    <w:p>
      <w:pPr>
        <w:spacing w:before="0" w:after="0"/>
      </w:pPr>
    </w:p>
    <w:p>
      <w:r>
        <w:t xml:space="preserve">Zbog manjeg obujma službenih putovanja smanjene su ostale naknade troškova zaposlenima.</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Materijal i sirovine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23.728,41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28.570,00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120,4</w:t>
            </w:r>
          </w:p>
        </w:tc>
      </w:tr>
    </w:tbl>
    <w:p>
      <w:pPr>
        <w:spacing w:before="0" w:after="0"/>
      </w:pPr>
    </w:p>
    <w:p>
      <w:r>
        <w:t xml:space="preserve">Rasli su troškovi namirnica za kuhinju, što zbog općeg porasta cijena pojedinih proizvoda, što zbog raznovrsnijeg jelovnika i povećanja broja korisnika u odnosu na prošlu godinu</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Energija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3.511,02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2.044,59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58,2</w:t>
            </w:r>
          </w:p>
        </w:tc>
      </w:tr>
    </w:tbl>
    <w:p>
      <w:pPr>
        <w:spacing w:before="0" w:after="0"/>
      </w:pPr>
    </w:p>
    <w:p>
      <w:r>
        <w:t xml:space="preserve">Postavljanjem solarnih panela i grijalica topline smanjili su se troškovi plina.</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Sitni inventar i autogume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142,90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1.301,05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910,5</w:t>
            </w:r>
          </w:p>
        </w:tc>
      </w:tr>
    </w:tbl>
    <w:p>
      <w:pPr>
        <w:spacing w:before="0" w:after="0"/>
      </w:pPr>
    </w:p>
    <w:p>
      <w:r>
        <w:t xml:space="preserve">Nabavljeno je sitnog inventara za potrebe kuhinje i za opremanje krevetića za spavanje. </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Intelektualne i osobne usluge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10.178,96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22.460,16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220,7</w:t>
            </w:r>
          </w:p>
        </w:tc>
      </w:tr>
    </w:tbl>
    <w:p>
      <w:pPr>
        <w:spacing w:before="0" w:after="0"/>
      </w:pPr>
    </w:p>
    <w:p>
      <w:r>
        <w:t xml:space="preserve">Osim redovnih djelatnika dječjeg vrtića, pomoć u obavljanju posla pružaju i studenti angažirani preko studentskih ugovora. Iz tog razloga došlo je do povećanja ove stavke rashoda u odnosu na prošlu godinu.</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poslovanja - nenaplaćeni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2.936,34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6.369,45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216,9</w:t>
            </w:r>
          </w:p>
        </w:tc>
      </w:tr>
    </w:tbl>
    <w:p>
      <w:pPr>
        <w:spacing w:before="0" w:after="0"/>
      </w:pPr>
    </w:p>
    <w:p>
      <w:r>
        <w:t xml:space="preserve">Zbog obveze prelaska na jedinstveni račun proračuna i proračunskih korisnika, većina uplata naknada za 11. i 12. mjesec 2025. doznačena je u siječnju 2026. na jedinstveni račun proračuna i proračunskih korisnika. </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proizvedene dugotrajne imovine (šifre 421+422+423+424+425+426)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1.109,49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2.815,23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253,7</w:t>
            </w:r>
          </w:p>
        </w:tc>
      </w:tr>
    </w:tbl>
    <w:p>
      <w:pPr>
        <w:spacing w:before="0" w:after="0"/>
      </w:pPr>
    </w:p>
    <w:p>
      <w:r>
        <w:t xml:space="preserve">U 2025. nabavljeni su dodatni garderobni ormarići i krevetići.</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novčanih sredstava na kraju izvještajnog razdoblja (šifre 11P + '11-dugov.' - '11-potraž.')</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11K</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4.041,78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w:t>
            </w:r>
          </w:p>
        </w:tc>
      </w:tr>
    </w:tbl>
    <w:p>
      <w:pPr>
        <w:spacing w:before="0" w:after="0"/>
      </w:pPr>
    </w:p>
    <w:p>
      <w:r>
        <w:t xml:space="preserve">Zbog prelaska na riznicu, odnosno jedinstveni račun proračuna i proračunskih korisnika, transakcijski račun vrtića je sa 31.12.2025. zatvoren, a sredstva koja su se u tom trenutku nalazila na njemu transferirana su na jedinstveni račun. </w:t>
      </w:r>
    </w:p>
    <w:p/>
    <w:p>
      <w:pPr>
        <w:jc w:val="center"/>
        <w:pStyle w:val="Normal"/>
        <w:spacing w:line="240" w:lineRule="auto"/>
        <w:keepNext/>
      </w:pPr>
      <w:r>
        <w:rPr>
          <w:b/>
          <w:sz w:val="28"/>
          <w:rFonts w:ascii="Times New Roman" w:hAnsi="Times New Roman"/>
        </w:rPr>
        <w:t xml:space="preserve">Bilanca</w:t>
      </w:r>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0</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Nefinancijska imovina (šifre 01+02+03+04+05+06)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B002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1.512,48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3.610,19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238,7</w:t>
            </w:r>
          </w:p>
        </w:tc>
      </w:tr>
    </w:tbl>
    <w:p>
      <w:pPr>
        <w:spacing w:before="0" w:after="0"/>
      </w:pPr>
    </w:p>
    <w:p>
      <w:r>
        <w:t xml:space="preserve">Povećanje nefinancijske imovine odnosi se na nabavu dodatnih garderobnih ormarića i krevetića.</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1. siječnja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Stanje 31. prosinca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Financijska imovina (šifre 11+12+13+14+15+16+17+19)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32.804,44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7.621,55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23,2</w:t>
            </w:r>
          </w:p>
        </w:tc>
      </w:tr>
    </w:tbl>
    <w:p>
      <w:pPr>
        <w:spacing w:before="0" w:after="0"/>
      </w:pPr>
    </w:p>
    <w:p>
      <w:r>
        <w:t xml:space="preserve">Smanjenje financijske imovine u odnosu na isto razdoblje prethodne godine došlo je zbog ukidanja podskupine 193 - Kontinuirani rashodi budućih razdoblja po novom Pravilniku o proračunskom računovodstvu i računskom planu. (NN 158/2023)</w:t>
      </w:r>
    </w:p>
    <w:p/>
    <w:p>
      <w:pPr>
        <w:jc w:val="center"/>
        <w:pStyle w:val="Normal"/>
        <w:spacing w:line="240" w:lineRule="auto"/>
        <w:keepNext/>
      </w:pPr>
      <w:r>
        <w:rPr>
          <w:b/>
          <w:sz w:val="28"/>
          <w:rFonts w:ascii="Times New Roman" w:hAnsi="Times New Roman"/>
        </w:rPr>
        <w:t xml:space="preserve">Izvještaj o rashodima prema funkcijskoj klasifikaciji</w:t>
      </w:r>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09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Obrazovanje (šifre 091+092+093+094+095+096+097+098)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286.678,15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403.633,68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140,8</w:t>
            </w:r>
          </w:p>
        </w:tc>
      </w:tr>
    </w:tbl>
    <w:p>
      <w:pPr>
        <w:spacing w:before="0" w:after="0"/>
      </w:pPr>
    </w:p>
    <w:p>
      <w:r>
        <w:t xml:space="preserve">Osnovna djelatnost dječje vrtića Lađica predškolsko obrazovanje propisana je Zakonom o predškolskom odgoju i obrazovanju (NN 10/97, 107/07, 94/13, 98/19, 57/22, 101/23) i svi rashodi koncentrirani su za namjenu predškolskog obrazovanja.</w:t>
      </w:r>
    </w:p>
    <w:p/>
    <w:p>
      <w:pPr>
        <w:jc w:val="center"/>
        <w:pStyle w:val="Normal"/>
        <w:spacing w:line="240" w:lineRule="auto"/>
        <w:keepNext/>
      </w:pPr>
      <w:r>
        <w:rPr>
          <w:b/>
          <w:sz w:val="28"/>
          <w:rFonts w:ascii="Times New Roman" w:hAnsi="Times New Roman"/>
        </w:rPr>
        <w:t xml:space="preserve">Promjene u vrijednosti i obujmu imovine i obveza</w:t>
      </w:r>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 povećanja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 smanjenja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91512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Promjene u obujmu imovine (šifre P016+P023)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91512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145,11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Obavljen je otpis imovine koja je uništena i više se ne koristi.</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5.290,04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Sve dospjele obveze imaju razdoblje dospijeća od 1 do 60 dana, a odnose se na obveze za troškove namirnica za kuhinju, te obveze za održavanje objekta i opreme. Neki od dospjelih računa imaju naznačen raniji datum izdavanja ali su dostavljeni puno kasnije od datuma isporuke i izdavanja što remeti i sam vremenski okvir u kojem su plaćene.</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0b5565c03dcd400f" /></Relationships>
</file>